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E8B7" w14:textId="77777777" w:rsidR="002F7AFF" w:rsidRDefault="002F7AFF"/>
    <w:p w14:paraId="7BE99283" w14:textId="77777777" w:rsidR="002F7AFF" w:rsidRDefault="002F7AFF" w:rsidP="002F7AFF"/>
    <w:p w14:paraId="2C41E9B9" w14:textId="709EEA7C" w:rsidR="002F7AFF" w:rsidRDefault="002F7AFF" w:rsidP="002F7AFF"/>
    <w:p w14:paraId="1B968139" w14:textId="77E82A04" w:rsidR="00703382" w:rsidRDefault="00703382" w:rsidP="002F7AFF"/>
    <w:p w14:paraId="20A0D224" w14:textId="77777777" w:rsidR="00703382" w:rsidRDefault="00703382" w:rsidP="002F7AFF"/>
    <w:p w14:paraId="77B01CFE" w14:textId="5D0DC0D2" w:rsidR="009C6010" w:rsidRDefault="009C761D">
      <w:pPr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CT UROGRAM FOR EVALUATION OF RENAL TRANSPLANT DONOR</w:t>
      </w:r>
    </w:p>
    <w:p w14:paraId="3A5544B8" w14:textId="77777777" w:rsidR="009C6010" w:rsidRDefault="009C6010">
      <w:pPr>
        <w:jc w:val="center"/>
      </w:pPr>
    </w:p>
    <w:p w14:paraId="743A17D7" w14:textId="08E23576" w:rsidR="009C6010" w:rsidRPr="00AB078B" w:rsidRDefault="00703382">
      <w:pPr>
        <w:rPr>
          <w:rFonts w:ascii="Andalus" w:hAnsi="Andalus"/>
        </w:rPr>
      </w:pPr>
      <w:r>
        <w:rPr>
          <w:rFonts w:ascii="Andalus" w:hAnsi="Andalus"/>
          <w:b/>
          <w:i/>
          <w:sz w:val="24"/>
          <w:szCs w:val="24"/>
        </w:rPr>
        <w:t xml:space="preserve">Technique: </w:t>
      </w:r>
      <w:r>
        <w:rPr>
          <w:rFonts w:ascii="Andalus" w:hAnsi="Andalus"/>
          <w:b/>
          <w:i/>
          <w:sz w:val="24"/>
          <w:szCs w:val="24"/>
        </w:rPr>
        <w:br/>
      </w:r>
      <w:r w:rsidR="00C0022B" w:rsidRPr="00AB078B">
        <w:rPr>
          <w:rFonts w:ascii="Andalus" w:hAnsi="Andalus"/>
          <w:b/>
          <w:i/>
          <w:sz w:val="24"/>
          <w:szCs w:val="24"/>
        </w:rPr>
        <w:t>Clinical information</w:t>
      </w:r>
      <w:r>
        <w:rPr>
          <w:rFonts w:ascii="Andalus" w:hAnsi="Andalus"/>
          <w:b/>
          <w:i/>
          <w:sz w:val="24"/>
          <w:szCs w:val="24"/>
        </w:rPr>
        <w:t xml:space="preserve">: </w:t>
      </w:r>
    </w:p>
    <w:p w14:paraId="73B17A81" w14:textId="295F1C2A" w:rsidR="009C6010" w:rsidRDefault="00C0022B">
      <w:pPr>
        <w:rPr>
          <w:rFonts w:ascii="Andalus" w:hAnsi="Andalus"/>
          <w:b/>
          <w:i/>
          <w:sz w:val="24"/>
          <w:szCs w:val="24"/>
        </w:rPr>
      </w:pPr>
      <w:r w:rsidRPr="00AB078B">
        <w:rPr>
          <w:rFonts w:ascii="Andalus" w:hAnsi="Andalus"/>
          <w:b/>
          <w:i/>
          <w:sz w:val="24"/>
          <w:szCs w:val="24"/>
        </w:rPr>
        <w:t xml:space="preserve">Comparison </w:t>
      </w:r>
      <w:r w:rsidR="00703382">
        <w:rPr>
          <w:rFonts w:ascii="Andalus" w:hAnsi="Andalus"/>
          <w:b/>
          <w:i/>
          <w:sz w:val="24"/>
          <w:szCs w:val="24"/>
        </w:rPr>
        <w:t xml:space="preserve">study: </w:t>
      </w:r>
    </w:p>
    <w:p w14:paraId="7AB59A2D" w14:textId="77777777" w:rsidR="00D557E0" w:rsidRPr="00AB078B" w:rsidRDefault="00D557E0">
      <w:pPr>
        <w:rPr>
          <w:rFonts w:ascii="Andalus" w:hAnsi="Andalus"/>
        </w:rPr>
      </w:pPr>
    </w:p>
    <w:p w14:paraId="07451CE3" w14:textId="77777777" w:rsidR="009C761D" w:rsidRPr="007B62EA" w:rsidRDefault="009C761D" w:rsidP="009C761D">
      <w:pPr>
        <w:pStyle w:val="NormalWeb"/>
        <w:spacing w:before="0" w:beforeAutospacing="0" w:after="0" w:afterAutospacing="0"/>
        <w:rPr>
          <w:rFonts w:ascii="Andalus" w:hAnsi="Andalus"/>
        </w:rPr>
      </w:pPr>
      <w:r w:rsidRPr="007B62EA">
        <w:rPr>
          <w:rFonts w:ascii="Andalus" w:hAnsi="Andalus" w:cs="Arial"/>
          <w:b/>
          <w:bCs/>
          <w:i/>
          <w:iCs/>
          <w:color w:val="000000"/>
        </w:rPr>
        <w:t>Findings</w:t>
      </w:r>
    </w:p>
    <w:p w14:paraId="0171E405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rial"/>
          <w:color w:val="000000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9C761D" w:rsidRPr="00EE75BE" w14:paraId="37FF7102" w14:textId="77777777" w:rsidTr="00DF38CE">
        <w:trPr>
          <w:trHeight w:val="584"/>
        </w:trPr>
        <w:tc>
          <w:tcPr>
            <w:tcW w:w="3160" w:type="dxa"/>
          </w:tcPr>
          <w:p w14:paraId="09454619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b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/>
                <w:bCs/>
                <w:iCs/>
                <w:color w:val="000000"/>
              </w:rPr>
              <w:t>Kidney</w:t>
            </w:r>
          </w:p>
        </w:tc>
        <w:tc>
          <w:tcPr>
            <w:tcW w:w="3160" w:type="dxa"/>
          </w:tcPr>
          <w:p w14:paraId="419EDBFD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b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/>
                <w:bCs/>
                <w:iCs/>
                <w:color w:val="000000"/>
              </w:rPr>
              <w:t>Size</w:t>
            </w:r>
          </w:p>
        </w:tc>
        <w:tc>
          <w:tcPr>
            <w:tcW w:w="3160" w:type="dxa"/>
          </w:tcPr>
          <w:p w14:paraId="066A5304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b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/>
                <w:bCs/>
                <w:iCs/>
                <w:color w:val="000000"/>
              </w:rPr>
              <w:t>Cortical thickness</w:t>
            </w:r>
          </w:p>
        </w:tc>
      </w:tr>
      <w:tr w:rsidR="009C761D" w:rsidRPr="00EE75BE" w14:paraId="61C5E69C" w14:textId="77777777" w:rsidTr="00DF38CE">
        <w:trPr>
          <w:trHeight w:val="375"/>
        </w:trPr>
        <w:tc>
          <w:tcPr>
            <w:tcW w:w="3160" w:type="dxa"/>
          </w:tcPr>
          <w:p w14:paraId="5D9F282D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Right kidney</w:t>
            </w:r>
          </w:p>
        </w:tc>
        <w:tc>
          <w:tcPr>
            <w:tcW w:w="3160" w:type="dxa"/>
          </w:tcPr>
          <w:p w14:paraId="3DD52701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  <w:tc>
          <w:tcPr>
            <w:tcW w:w="3160" w:type="dxa"/>
          </w:tcPr>
          <w:p w14:paraId="35463757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</w:tr>
      <w:tr w:rsidR="009C761D" w:rsidRPr="00EE75BE" w14:paraId="191A8961" w14:textId="77777777" w:rsidTr="00DF38CE">
        <w:trPr>
          <w:trHeight w:val="389"/>
        </w:trPr>
        <w:tc>
          <w:tcPr>
            <w:tcW w:w="3160" w:type="dxa"/>
          </w:tcPr>
          <w:p w14:paraId="002CDEFE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Left kidney</w:t>
            </w:r>
          </w:p>
        </w:tc>
        <w:tc>
          <w:tcPr>
            <w:tcW w:w="3160" w:type="dxa"/>
          </w:tcPr>
          <w:p w14:paraId="54737477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  <w:tc>
          <w:tcPr>
            <w:tcW w:w="3160" w:type="dxa"/>
          </w:tcPr>
          <w:p w14:paraId="6C47C9ED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jc w:val="center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</w:tr>
    </w:tbl>
    <w:p w14:paraId="2A150084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Cs/>
          <w:iCs/>
          <w:color w:val="000000"/>
          <w:u w:val="single"/>
        </w:rPr>
      </w:pPr>
    </w:p>
    <w:p w14:paraId="02C19D3A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/>
          <w:bCs/>
          <w:iCs/>
          <w:color w:val="000000"/>
        </w:rPr>
      </w:pPr>
      <w:r w:rsidRPr="001B39B6">
        <w:rPr>
          <w:rFonts w:ascii="Andalus" w:hAnsi="Andalus" w:cs="Andalus"/>
          <w:b/>
          <w:bCs/>
          <w:iCs/>
          <w:color w:val="000000"/>
        </w:rPr>
        <w:t>Arterial system</w:t>
      </w:r>
    </w:p>
    <w:p w14:paraId="58B9624E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/>
          <w:bCs/>
          <w:iCs/>
          <w:color w:val="000000"/>
        </w:rPr>
      </w:pPr>
    </w:p>
    <w:p w14:paraId="5AFD38EE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Cs/>
          <w:iCs/>
          <w:color w:val="000000"/>
        </w:rPr>
      </w:pPr>
      <w:r>
        <w:rPr>
          <w:rFonts w:ascii="Andalus" w:hAnsi="Andalus" w:cs="Andalus"/>
          <w:bCs/>
          <w:iCs/>
          <w:color w:val="000000"/>
        </w:rPr>
        <w:t xml:space="preserve">Accessory renal arteries – Nil. No renal ostial stenosis. No atherosclerotic mural calcification. </w:t>
      </w:r>
    </w:p>
    <w:p w14:paraId="3F7DF733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9C761D" w:rsidRPr="00EE75BE" w14:paraId="4D662A08" w14:textId="77777777" w:rsidTr="00DF38CE">
        <w:trPr>
          <w:trHeight w:val="736"/>
        </w:trPr>
        <w:tc>
          <w:tcPr>
            <w:tcW w:w="3012" w:type="dxa"/>
          </w:tcPr>
          <w:p w14:paraId="5E813937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Vessel</w:t>
            </w:r>
          </w:p>
        </w:tc>
        <w:tc>
          <w:tcPr>
            <w:tcW w:w="3012" w:type="dxa"/>
          </w:tcPr>
          <w:p w14:paraId="1E7CDD15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proofErr w:type="gramStart"/>
            <w:r w:rsidRPr="00EE75BE">
              <w:rPr>
                <w:rFonts w:ascii="Andalus" w:hAnsi="Andalus" w:cs="Andalus"/>
                <w:bCs/>
                <w:iCs/>
                <w:color w:val="000000"/>
              </w:rPr>
              <w:t>Length  of</w:t>
            </w:r>
            <w:proofErr w:type="gramEnd"/>
            <w:r w:rsidRPr="00EE75BE">
              <w:rPr>
                <w:rFonts w:ascii="Andalus" w:hAnsi="Andalus" w:cs="Andalus"/>
                <w:bCs/>
                <w:iCs/>
                <w:color w:val="000000"/>
              </w:rPr>
              <w:t xml:space="preserve"> vessel</w:t>
            </w:r>
          </w:p>
        </w:tc>
        <w:tc>
          <w:tcPr>
            <w:tcW w:w="3012" w:type="dxa"/>
          </w:tcPr>
          <w:p w14:paraId="373A29E6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Diameter of vessel</w:t>
            </w:r>
          </w:p>
        </w:tc>
      </w:tr>
      <w:tr w:rsidR="009C761D" w:rsidRPr="00EE75BE" w14:paraId="221E8A46" w14:textId="77777777" w:rsidTr="00DF38CE">
        <w:trPr>
          <w:trHeight w:val="368"/>
        </w:trPr>
        <w:tc>
          <w:tcPr>
            <w:tcW w:w="3012" w:type="dxa"/>
          </w:tcPr>
          <w:p w14:paraId="636747B3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Right main renal artery</w:t>
            </w:r>
          </w:p>
        </w:tc>
        <w:tc>
          <w:tcPr>
            <w:tcW w:w="3012" w:type="dxa"/>
          </w:tcPr>
          <w:p w14:paraId="0C369338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  <w:tc>
          <w:tcPr>
            <w:tcW w:w="3012" w:type="dxa"/>
          </w:tcPr>
          <w:p w14:paraId="24BA821E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 xml:space="preserve">Ostium: </w:t>
            </w:r>
            <w:r w:rsidRPr="00EE75BE">
              <w:rPr>
                <w:rFonts w:ascii="Andalus" w:hAnsi="Andalus" w:cs="Andalus"/>
                <w:bCs/>
                <w:iCs/>
                <w:color w:val="000000"/>
              </w:rPr>
              <w:br/>
              <w:t xml:space="preserve">Mid:  </w:t>
            </w:r>
            <w:r w:rsidRPr="00EE75BE">
              <w:rPr>
                <w:rFonts w:ascii="Andalus" w:hAnsi="Andalus" w:cs="Andalus"/>
                <w:bCs/>
                <w:iCs/>
                <w:color w:val="000000"/>
              </w:rPr>
              <w:br/>
              <w:t xml:space="preserve">Prior to branch: </w:t>
            </w:r>
          </w:p>
        </w:tc>
      </w:tr>
      <w:tr w:rsidR="009C761D" w:rsidRPr="00EE75BE" w14:paraId="4975154D" w14:textId="77777777" w:rsidTr="00DF38CE">
        <w:trPr>
          <w:trHeight w:val="381"/>
        </w:trPr>
        <w:tc>
          <w:tcPr>
            <w:tcW w:w="3012" w:type="dxa"/>
          </w:tcPr>
          <w:p w14:paraId="08AB5CF3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Left main renal artery</w:t>
            </w:r>
          </w:p>
        </w:tc>
        <w:tc>
          <w:tcPr>
            <w:tcW w:w="3012" w:type="dxa"/>
          </w:tcPr>
          <w:p w14:paraId="31198EA0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  <w:tc>
          <w:tcPr>
            <w:tcW w:w="3012" w:type="dxa"/>
          </w:tcPr>
          <w:p w14:paraId="3C815A61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 xml:space="preserve">Ostium: </w:t>
            </w:r>
            <w:r w:rsidRPr="00EE75BE">
              <w:rPr>
                <w:rFonts w:ascii="Andalus" w:hAnsi="Andalus" w:cs="Andalus"/>
                <w:bCs/>
                <w:iCs/>
                <w:color w:val="000000"/>
              </w:rPr>
              <w:br/>
              <w:t xml:space="preserve">Mid: </w:t>
            </w:r>
            <w:r w:rsidRPr="00EE75BE">
              <w:rPr>
                <w:rFonts w:ascii="Andalus" w:hAnsi="Andalus" w:cs="Andalus"/>
                <w:bCs/>
                <w:iCs/>
                <w:color w:val="000000"/>
              </w:rPr>
              <w:br/>
              <w:t xml:space="preserve">Prior to branch: </w:t>
            </w:r>
          </w:p>
        </w:tc>
      </w:tr>
      <w:tr w:rsidR="009C761D" w:rsidRPr="00EE75BE" w14:paraId="54C81622" w14:textId="77777777" w:rsidTr="00DF38CE">
        <w:trPr>
          <w:trHeight w:val="381"/>
        </w:trPr>
        <w:tc>
          <w:tcPr>
            <w:tcW w:w="3012" w:type="dxa"/>
          </w:tcPr>
          <w:p w14:paraId="2BBF118D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 xml:space="preserve">Aorta </w:t>
            </w:r>
          </w:p>
        </w:tc>
        <w:tc>
          <w:tcPr>
            <w:tcW w:w="3012" w:type="dxa"/>
          </w:tcPr>
          <w:p w14:paraId="5C111B3F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  <w:tc>
          <w:tcPr>
            <w:tcW w:w="3012" w:type="dxa"/>
          </w:tcPr>
          <w:p w14:paraId="174F359A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At level of renal artery origin: mm (TR x AP)</w:t>
            </w:r>
          </w:p>
        </w:tc>
      </w:tr>
    </w:tbl>
    <w:p w14:paraId="1B05F13E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/>
          <w:bCs/>
          <w:iCs/>
          <w:color w:val="000000"/>
        </w:rPr>
      </w:pPr>
    </w:p>
    <w:p w14:paraId="4E0497A9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/>
          <w:bCs/>
          <w:iCs/>
          <w:color w:val="000000"/>
        </w:rPr>
      </w:pPr>
    </w:p>
    <w:p w14:paraId="73809765" w14:textId="77777777" w:rsidR="009C761D" w:rsidRDefault="009C761D" w:rsidP="009C761D"/>
    <w:p w14:paraId="106BD008" w14:textId="77777777" w:rsidR="009C761D" w:rsidRDefault="009C761D" w:rsidP="009C761D">
      <w:pPr>
        <w:jc w:val="center"/>
        <w:rPr>
          <w:rFonts w:ascii="Andalus" w:hAnsi="Andalus"/>
          <w:b/>
          <w:bCs/>
          <w:sz w:val="32"/>
          <w:szCs w:val="28"/>
          <w:u w:val="single"/>
        </w:rPr>
      </w:pPr>
    </w:p>
    <w:p w14:paraId="131885E5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/>
          <w:bCs/>
          <w:iCs/>
          <w:color w:val="000000"/>
        </w:rPr>
      </w:pPr>
      <w:r>
        <w:rPr>
          <w:rFonts w:ascii="Andalus" w:hAnsi="Andalus" w:cs="Andalus"/>
          <w:b/>
          <w:bCs/>
          <w:iCs/>
          <w:color w:val="000000"/>
        </w:rPr>
        <w:lastRenderedPageBreak/>
        <w:t xml:space="preserve">Venous </w:t>
      </w:r>
      <w:r w:rsidRPr="001B39B6">
        <w:rPr>
          <w:rFonts w:ascii="Andalus" w:hAnsi="Andalus" w:cs="Andalus"/>
          <w:b/>
          <w:bCs/>
          <w:iCs/>
          <w:color w:val="000000"/>
        </w:rPr>
        <w:t>system</w:t>
      </w:r>
    </w:p>
    <w:p w14:paraId="2ED56481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/>
          <w:bCs/>
          <w:iCs/>
          <w:color w:val="000000"/>
        </w:rPr>
      </w:pPr>
    </w:p>
    <w:p w14:paraId="4B7D7930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Cs/>
          <w:iCs/>
          <w:color w:val="000000"/>
        </w:rPr>
      </w:pPr>
      <w:r>
        <w:rPr>
          <w:rFonts w:ascii="Andalus" w:hAnsi="Andalus" w:cs="Andalus"/>
          <w:bCs/>
          <w:iCs/>
          <w:color w:val="000000"/>
        </w:rPr>
        <w:t xml:space="preserve">Accessory renal veins – Nil. No </w:t>
      </w:r>
      <w:proofErr w:type="spellStart"/>
      <w:r>
        <w:rPr>
          <w:rFonts w:ascii="Andalus" w:hAnsi="Andalus" w:cs="Andalus"/>
          <w:bCs/>
          <w:iCs/>
          <w:color w:val="000000"/>
        </w:rPr>
        <w:t>retroaortic</w:t>
      </w:r>
      <w:proofErr w:type="spellEnd"/>
      <w:r>
        <w:rPr>
          <w:rFonts w:ascii="Andalus" w:hAnsi="Andalus" w:cs="Andalus"/>
          <w:bCs/>
          <w:iCs/>
          <w:color w:val="000000"/>
        </w:rPr>
        <w:t xml:space="preserve"> left renal vein. </w:t>
      </w:r>
    </w:p>
    <w:p w14:paraId="279EF57D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9C761D" w:rsidRPr="00EE75BE" w14:paraId="0C26F488" w14:textId="77777777" w:rsidTr="00DF38CE">
        <w:trPr>
          <w:trHeight w:val="736"/>
        </w:trPr>
        <w:tc>
          <w:tcPr>
            <w:tcW w:w="3012" w:type="dxa"/>
          </w:tcPr>
          <w:p w14:paraId="183C8817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Vessel</w:t>
            </w:r>
          </w:p>
        </w:tc>
        <w:tc>
          <w:tcPr>
            <w:tcW w:w="3012" w:type="dxa"/>
          </w:tcPr>
          <w:p w14:paraId="653D9F5D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proofErr w:type="gramStart"/>
            <w:r w:rsidRPr="00EE75BE">
              <w:rPr>
                <w:rFonts w:ascii="Andalus" w:hAnsi="Andalus" w:cs="Andalus"/>
                <w:bCs/>
                <w:iCs/>
                <w:color w:val="000000"/>
              </w:rPr>
              <w:t>Length  of</w:t>
            </w:r>
            <w:proofErr w:type="gramEnd"/>
            <w:r w:rsidRPr="00EE75BE">
              <w:rPr>
                <w:rFonts w:ascii="Andalus" w:hAnsi="Andalus" w:cs="Andalus"/>
                <w:bCs/>
                <w:iCs/>
                <w:color w:val="000000"/>
              </w:rPr>
              <w:t xml:space="preserve"> vessel</w:t>
            </w:r>
          </w:p>
        </w:tc>
        <w:tc>
          <w:tcPr>
            <w:tcW w:w="3012" w:type="dxa"/>
          </w:tcPr>
          <w:p w14:paraId="081797CB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Diameter of vessel</w:t>
            </w:r>
          </w:p>
        </w:tc>
      </w:tr>
      <w:tr w:rsidR="009C761D" w:rsidRPr="00EE75BE" w14:paraId="7EB39630" w14:textId="77777777" w:rsidTr="00DF38CE">
        <w:trPr>
          <w:trHeight w:val="368"/>
        </w:trPr>
        <w:tc>
          <w:tcPr>
            <w:tcW w:w="3012" w:type="dxa"/>
          </w:tcPr>
          <w:p w14:paraId="4D7FB835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Right main renal vein</w:t>
            </w:r>
          </w:p>
        </w:tc>
        <w:tc>
          <w:tcPr>
            <w:tcW w:w="3012" w:type="dxa"/>
          </w:tcPr>
          <w:p w14:paraId="37CAA8F0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  <w:tc>
          <w:tcPr>
            <w:tcW w:w="3012" w:type="dxa"/>
          </w:tcPr>
          <w:p w14:paraId="74BFD74D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</w:tr>
      <w:tr w:rsidR="009C761D" w:rsidRPr="00EE75BE" w14:paraId="107DBBBC" w14:textId="77777777" w:rsidTr="00DF38CE">
        <w:trPr>
          <w:trHeight w:val="381"/>
        </w:trPr>
        <w:tc>
          <w:tcPr>
            <w:tcW w:w="3012" w:type="dxa"/>
          </w:tcPr>
          <w:p w14:paraId="4A959AF6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  <w:r w:rsidRPr="00EE75BE">
              <w:rPr>
                <w:rFonts w:ascii="Andalus" w:hAnsi="Andalus" w:cs="Andalus"/>
                <w:bCs/>
                <w:iCs/>
                <w:color w:val="000000"/>
              </w:rPr>
              <w:t>Left main renal vein</w:t>
            </w:r>
          </w:p>
        </w:tc>
        <w:tc>
          <w:tcPr>
            <w:tcW w:w="3012" w:type="dxa"/>
          </w:tcPr>
          <w:p w14:paraId="68669C04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  <w:tc>
          <w:tcPr>
            <w:tcW w:w="3012" w:type="dxa"/>
          </w:tcPr>
          <w:p w14:paraId="437C3EB0" w14:textId="77777777" w:rsidR="009C761D" w:rsidRPr="00EE75BE" w:rsidRDefault="009C761D" w:rsidP="00DF38CE">
            <w:pPr>
              <w:pStyle w:val="NormalWeb"/>
              <w:spacing w:before="0" w:beforeAutospacing="0" w:after="0" w:afterAutospacing="0"/>
              <w:rPr>
                <w:rFonts w:ascii="Andalus" w:hAnsi="Andalus" w:cs="Andalus"/>
                <w:bCs/>
                <w:iCs/>
                <w:color w:val="000000"/>
              </w:rPr>
            </w:pPr>
          </w:p>
        </w:tc>
      </w:tr>
    </w:tbl>
    <w:p w14:paraId="4297CDF3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Cs/>
          <w:iCs/>
          <w:color w:val="000000"/>
        </w:rPr>
      </w:pPr>
    </w:p>
    <w:p w14:paraId="54C4B506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Cs/>
          <w:iCs/>
          <w:color w:val="000000"/>
        </w:rPr>
      </w:pPr>
      <w:r>
        <w:rPr>
          <w:rFonts w:ascii="Andalus" w:hAnsi="Andalus" w:cs="Andalus"/>
          <w:bCs/>
          <w:iCs/>
          <w:color w:val="000000"/>
        </w:rPr>
        <w:t xml:space="preserve">Normal renal corticomedullary differentiation on both sides. No calculi or hydronephrosis. No renal mass lesions. Normal excretion of both kidneys. Both ureters are normal. </w:t>
      </w:r>
    </w:p>
    <w:p w14:paraId="1961878A" w14:textId="77777777" w:rsidR="009C761D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Cs/>
          <w:iCs/>
          <w:color w:val="000000"/>
        </w:rPr>
      </w:pPr>
      <w:r>
        <w:rPr>
          <w:rFonts w:ascii="Andalus" w:hAnsi="Andalus" w:cs="Andalus"/>
          <w:bCs/>
          <w:iCs/>
          <w:color w:val="000000"/>
        </w:rPr>
        <w:t xml:space="preserve">Urinary bladder is distended. No mural thickening or calculi. </w:t>
      </w:r>
    </w:p>
    <w:p w14:paraId="4D99833D" w14:textId="77777777" w:rsidR="009C761D" w:rsidRPr="001B39B6" w:rsidRDefault="009C761D" w:rsidP="009C761D">
      <w:pPr>
        <w:pStyle w:val="NormalWeb"/>
        <w:spacing w:before="0" w:beforeAutospacing="0" w:after="0" w:afterAutospacing="0"/>
        <w:rPr>
          <w:rFonts w:ascii="Andalus" w:hAnsi="Andalus" w:cs="Andalus"/>
          <w:bCs/>
          <w:iCs/>
          <w:color w:val="000000"/>
        </w:rPr>
      </w:pPr>
      <w:r>
        <w:rPr>
          <w:rFonts w:ascii="Andalus" w:hAnsi="Andalus" w:cs="Andalus"/>
          <w:bCs/>
          <w:iCs/>
          <w:color w:val="000000"/>
        </w:rPr>
        <w:t xml:space="preserve">Normal sized prostate. </w:t>
      </w:r>
    </w:p>
    <w:p w14:paraId="7F04CF49" w14:textId="77777777" w:rsidR="009C6010" w:rsidRDefault="009C6010"/>
    <w:p w14:paraId="76910E70" w14:textId="77777777" w:rsidR="009C6010" w:rsidRPr="00AB078B" w:rsidRDefault="00C0022B">
      <w:pPr>
        <w:rPr>
          <w:rFonts w:ascii="Monotype Corsiva" w:hAnsi="Monotype Corsiva"/>
          <w:sz w:val="32"/>
          <w:u w:val="single"/>
        </w:rPr>
      </w:pPr>
      <w:r w:rsidRPr="00AB078B">
        <w:rPr>
          <w:rFonts w:ascii="Monotype Corsiva" w:hAnsi="Monotype Corsiva"/>
          <w:b/>
          <w:i/>
          <w:sz w:val="32"/>
          <w:szCs w:val="24"/>
          <w:u w:val="single"/>
        </w:rPr>
        <w:t>IMPRESSION</w:t>
      </w:r>
    </w:p>
    <w:p w14:paraId="35E3E6AF" w14:textId="4D519BC8" w:rsidR="009C6010" w:rsidRPr="00AB078B" w:rsidRDefault="00C0022B" w:rsidP="00AB078B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32"/>
          <w:szCs w:val="24"/>
        </w:rPr>
      </w:pPr>
      <w:r w:rsidRPr="00AB078B">
        <w:rPr>
          <w:rFonts w:ascii="Monotype Corsiva" w:hAnsi="Monotype Corsiva"/>
          <w:b/>
          <w:sz w:val="32"/>
          <w:szCs w:val="24"/>
        </w:rPr>
        <w:t>No</w:t>
      </w:r>
      <w:r w:rsidR="00703382">
        <w:rPr>
          <w:rFonts w:ascii="Monotype Corsiva" w:hAnsi="Monotype Corsiva"/>
          <w:b/>
          <w:sz w:val="32"/>
          <w:szCs w:val="24"/>
        </w:rPr>
        <w:t>rmal study</w:t>
      </w:r>
      <w:r w:rsidRPr="00AB078B">
        <w:rPr>
          <w:rFonts w:ascii="Monotype Corsiva" w:hAnsi="Monotype Corsiva"/>
          <w:b/>
          <w:sz w:val="32"/>
          <w:szCs w:val="24"/>
        </w:rPr>
        <w:t xml:space="preserve">. </w:t>
      </w:r>
    </w:p>
    <w:p w14:paraId="03159521" w14:textId="77777777" w:rsidR="009C6010" w:rsidRDefault="009C6010"/>
    <w:p w14:paraId="6F973C04" w14:textId="3D0B7E6B" w:rsidR="0044524F" w:rsidRPr="00AE0DB8" w:rsidRDefault="00963C35" w:rsidP="00703382">
      <w:pPr>
        <w:tabs>
          <w:tab w:val="left" w:pos="-270"/>
          <w:tab w:val="right" w:pos="8640"/>
        </w:tabs>
        <w:ind w:left="-270"/>
        <w:rPr>
          <w:sz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</w:t>
      </w:r>
      <w:r w:rsidR="006D7AB6">
        <w:rPr>
          <w:rFonts w:ascii="Monotype Corsiva" w:hAnsi="Monotype Corsiva"/>
          <w:b/>
        </w:rPr>
        <w:t xml:space="preserve"> </w:t>
      </w:r>
    </w:p>
    <w:sectPr w:rsidR="0044524F" w:rsidRPr="00AE0DB8" w:rsidSect="005E54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532"/>
    <w:multiLevelType w:val="multilevel"/>
    <w:tmpl w:val="5706050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F335188"/>
    <w:multiLevelType w:val="hybridMultilevel"/>
    <w:tmpl w:val="383E2E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4C84"/>
    <w:multiLevelType w:val="hybridMultilevel"/>
    <w:tmpl w:val="5D4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10"/>
    <w:rsid w:val="00034A3E"/>
    <w:rsid w:val="000E3A4F"/>
    <w:rsid w:val="000F042A"/>
    <w:rsid w:val="002857A0"/>
    <w:rsid w:val="002F7AFF"/>
    <w:rsid w:val="00374210"/>
    <w:rsid w:val="00401E20"/>
    <w:rsid w:val="0044524F"/>
    <w:rsid w:val="004729E1"/>
    <w:rsid w:val="005B4D6A"/>
    <w:rsid w:val="005E5411"/>
    <w:rsid w:val="005F7472"/>
    <w:rsid w:val="00607D7C"/>
    <w:rsid w:val="0062677E"/>
    <w:rsid w:val="0063030A"/>
    <w:rsid w:val="006351C5"/>
    <w:rsid w:val="006D7AB6"/>
    <w:rsid w:val="00700E4B"/>
    <w:rsid w:val="00703382"/>
    <w:rsid w:val="007B3BD8"/>
    <w:rsid w:val="007D03CD"/>
    <w:rsid w:val="00910C60"/>
    <w:rsid w:val="0091421E"/>
    <w:rsid w:val="00917B2C"/>
    <w:rsid w:val="00963C35"/>
    <w:rsid w:val="009C6010"/>
    <w:rsid w:val="009C761D"/>
    <w:rsid w:val="00AB078B"/>
    <w:rsid w:val="00B5746E"/>
    <w:rsid w:val="00C0022B"/>
    <w:rsid w:val="00C23445"/>
    <w:rsid w:val="00C4045D"/>
    <w:rsid w:val="00C674F1"/>
    <w:rsid w:val="00D557E0"/>
    <w:rsid w:val="00D814B0"/>
    <w:rsid w:val="00E50A9E"/>
    <w:rsid w:val="00EB5D5D"/>
    <w:rsid w:val="00F6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276A"/>
  <w15:docId w15:val="{9BC92897-4822-4F7A-8089-7ACB95DF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B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761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</w:rPr>
  </w:style>
  <w:style w:type="paragraph" w:styleId="NormalWeb">
    <w:name w:val="Normal (Web)"/>
    <w:basedOn w:val="Normal"/>
    <w:uiPriority w:val="99"/>
    <w:unhideWhenUsed/>
    <w:rsid w:val="009C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Varun Babu</cp:lastModifiedBy>
  <cp:revision>2</cp:revision>
  <dcterms:created xsi:type="dcterms:W3CDTF">2022-04-02T04:34:00Z</dcterms:created>
  <dcterms:modified xsi:type="dcterms:W3CDTF">2022-04-02T04:34:00Z</dcterms:modified>
</cp:coreProperties>
</file>